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F7" w:rsidRPr="000F33F7" w:rsidRDefault="000F33F7" w:rsidP="000F33F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F33F7">
        <w:rPr>
          <w:rFonts w:ascii="Times New Roman" w:hAnsi="Times New Roman" w:cs="Times New Roman"/>
          <w:sz w:val="20"/>
          <w:szCs w:val="20"/>
        </w:rPr>
        <w:t>Информация</w:t>
      </w:r>
    </w:p>
    <w:p w:rsidR="000F33F7" w:rsidRPr="000F33F7" w:rsidRDefault="000F33F7" w:rsidP="000F33F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F33F7">
        <w:rPr>
          <w:rFonts w:ascii="Times New Roman" w:hAnsi="Times New Roman" w:cs="Times New Roman"/>
          <w:sz w:val="20"/>
          <w:szCs w:val="20"/>
        </w:rPr>
        <w:t xml:space="preserve">об основных показателях </w:t>
      </w:r>
      <w:proofErr w:type="gramStart"/>
      <w:r w:rsidRPr="000F33F7">
        <w:rPr>
          <w:rFonts w:ascii="Times New Roman" w:hAnsi="Times New Roman" w:cs="Times New Roman"/>
          <w:sz w:val="20"/>
          <w:szCs w:val="20"/>
        </w:rPr>
        <w:t>финансово-хозяйственной</w:t>
      </w:r>
      <w:proofErr w:type="gramEnd"/>
    </w:p>
    <w:p w:rsidR="000F33F7" w:rsidRPr="000F33F7" w:rsidRDefault="000F33F7" w:rsidP="000F33F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F33F7">
        <w:rPr>
          <w:rFonts w:ascii="Times New Roman" w:hAnsi="Times New Roman" w:cs="Times New Roman"/>
          <w:sz w:val="20"/>
          <w:szCs w:val="20"/>
        </w:rPr>
        <w:t>деятельности регулируемой организации, включая структуру</w:t>
      </w:r>
    </w:p>
    <w:p w:rsidR="000F33F7" w:rsidRPr="000F33F7" w:rsidRDefault="000F33F7" w:rsidP="000F33F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F33F7">
        <w:rPr>
          <w:rFonts w:ascii="Times New Roman" w:hAnsi="Times New Roman" w:cs="Times New Roman"/>
          <w:sz w:val="20"/>
          <w:szCs w:val="20"/>
        </w:rPr>
        <w:t>основных производственных затрат (в части регулируемых</w:t>
      </w:r>
      <w:proofErr w:type="gramEnd"/>
    </w:p>
    <w:p w:rsidR="000F33F7" w:rsidRPr="000F33F7" w:rsidRDefault="000F33F7" w:rsidP="000F33F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F33F7">
        <w:rPr>
          <w:rFonts w:ascii="Times New Roman" w:hAnsi="Times New Roman" w:cs="Times New Roman"/>
          <w:sz w:val="20"/>
          <w:szCs w:val="20"/>
        </w:rPr>
        <w:t>видов деятельности)</w:t>
      </w:r>
      <w:r w:rsidR="009145CE">
        <w:rPr>
          <w:rFonts w:ascii="Times New Roman" w:hAnsi="Times New Roman" w:cs="Times New Roman"/>
          <w:sz w:val="20"/>
          <w:szCs w:val="20"/>
        </w:rPr>
        <w:t xml:space="preserve"> 2023 год</w:t>
      </w:r>
    </w:p>
    <w:p w:rsidR="000F33F7" w:rsidRPr="000F33F7" w:rsidRDefault="000F33F7" w:rsidP="000F33F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3058"/>
        <w:gridCol w:w="1435"/>
        <w:gridCol w:w="1020"/>
        <w:gridCol w:w="4989"/>
      </w:tblGrid>
      <w:tr w:rsidR="000F33F7" w:rsidRPr="000F33F7" w:rsidTr="0022474F">
        <w:tc>
          <w:tcPr>
            <w:tcW w:w="6315" w:type="dxa"/>
            <w:gridSpan w:val="4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4989" w:type="dxa"/>
            <w:vMerge w:val="restart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0F33F7" w:rsidRPr="000F33F7" w:rsidTr="0022474F">
        <w:tc>
          <w:tcPr>
            <w:tcW w:w="802" w:type="dxa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58" w:type="dxa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595"/>
            <w:bookmarkEnd w:id="0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35" w:type="dxa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596"/>
            <w:bookmarkEnd w:id="1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20" w:type="dxa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597"/>
            <w:bookmarkEnd w:id="2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4989" w:type="dxa"/>
            <w:vMerge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Выручка от регулируемого вида деятельности с распределением по видам деятельности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13379,2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Указывается выручка от регулируемого вида деятельности с распределением по видам деятельности.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14169,38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Указывается суммарная себестоимость производимых товаров.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приобретаемую тепловую энергию (мощность), теплоноситель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7209,72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топливо с указанием по каждому виду топлива стоимости (за единицу объема), объема и способа его приобретения, стоимости его доставки: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Указываются суммарные расходы на приобретение топлива всех видов.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вид топлива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595">
              <w:r w:rsidRPr="000F33F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 "Наименование параметра" указывается вид приобретаемого топлива.</w:t>
            </w:r>
          </w:p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Если приобретается несколько видов топлива, то информация по каждому из них указывается отдельно.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2.2.1.1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объем приобретения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596">
              <w:r w:rsidRPr="000F33F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 "Единица измерения" указываются единицы измерения объема приобретаемого топлива.</w:t>
            </w:r>
          </w:p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597">
              <w:r w:rsidRPr="000F33F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величина объема приобретаемого топлива.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2.2.1.2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объема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2.2.1.3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способ приобретения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2.2.1.4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стоимость доставки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приобретаемую электрическую энергию (мощность), используемую в технологическом процессе: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средневзвешенная стоимость 1 </w:t>
            </w:r>
            <w:proofErr w:type="spell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кВт·</w:t>
            </w:r>
            <w:proofErr w:type="gram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объем приобретения электрической энергии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кВт·</w:t>
            </w:r>
            <w:proofErr w:type="gram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хим. реагенты, используемые в технологическом процессе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страховые взносы на обязательное социальное страхование, выплачиваемые из фонда оплаты труда основного производственного персонала: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551,2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453,4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9145CE">
        <w:trPr>
          <w:trHeight w:val="1410"/>
        </w:trPr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страховые взносы на обязательное социальное страхование, выплачиваемые из фонда оплаты труда основного производственного персонала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оплату труда и </w:t>
            </w:r>
            <w:r w:rsidRPr="000F3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страховые взносы на обязательное социальное страхование, выплачиваемые из фонда оплаты труда административно-управленческого персонала: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2500,23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2.7.1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2111,97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страховые взносы на обязательное социальное страхование, выплачиваемые из фонда оплаты труда административно-управленческого персонала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388,26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35,63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437,7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общепроизводственные расходы, в том числе: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2455,2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Указывается общая сумма общепроизводственных расходов.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2.10.1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2358,9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2.10.2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расходы, в том числе: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979,9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Указывается общая сумма общехозяйственных расходов.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Указываются расходы на текущий ремонт, отнесенные к общехозяйственным расходам.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2.11.2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Указывается информация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прочие расходы, которые подлежат отнесению на регулируемые виды деятельности в соответствии с законодательством Российской Федерации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-790,18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-790,18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Изменение стоимости основных фондов, в том числе: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Указывается общее изменение стоимости основных фондов.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изменение стоимости основных фондов за счет: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их ввода в эксплуатацию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их вывода из эксплуатации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Указываются изменение стоимости основных фондов за </w:t>
            </w:r>
            <w:r w:rsidRPr="000F3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их вывода из эксплуатации.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их переоценки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Merge w:val="restart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8" w:type="dxa"/>
            <w:vMerge w:val="restart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Годовая бухгалтерская (финансовая) отчетность, включая бухгалтерский баланс и приложения к нему</w:t>
            </w:r>
          </w:p>
        </w:tc>
        <w:tc>
          <w:tcPr>
            <w:tcW w:w="1435" w:type="dxa"/>
            <w:vMerge w:val="restart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vMerge w:val="restart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bottom w:val="nil"/>
            </w:tcBorders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F33F7" w:rsidRPr="000F33F7" w:rsidTr="0022474F">
        <w:tc>
          <w:tcPr>
            <w:tcW w:w="802" w:type="dxa"/>
            <w:vMerge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Регулируемыми организациями информация раскрывается в случае, если выручка от регулируемых видов деятельности превышает 80 процентов совокупной выручки за отчетный год.</w:t>
            </w:r>
          </w:p>
        </w:tc>
      </w:tr>
      <w:tr w:rsidR="000F33F7" w:rsidRPr="000F33F7" w:rsidTr="0022474F">
        <w:tc>
          <w:tcPr>
            <w:tcW w:w="802" w:type="dxa"/>
            <w:vMerge w:val="restart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8" w:type="dxa"/>
            <w:vMerge w:val="restart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435" w:type="dxa"/>
            <w:vMerge w:val="restart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20" w:type="dxa"/>
            <w:vMerge w:val="restart"/>
            <w:vAlign w:val="center"/>
          </w:tcPr>
          <w:p w:rsidR="000F33F7" w:rsidRPr="000F33F7" w:rsidRDefault="009145CE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29,87</w:t>
            </w:r>
          </w:p>
        </w:tc>
        <w:tc>
          <w:tcPr>
            <w:tcW w:w="4989" w:type="dxa"/>
            <w:tcBorders>
              <w:bottom w:val="nil"/>
            </w:tcBorders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Указывается суммарная установленная тепловая мощность объектов основных фондов, используемых для осуществления теплоснабжения.</w:t>
            </w:r>
          </w:p>
        </w:tc>
      </w:tr>
      <w:tr w:rsidR="000F33F7" w:rsidRPr="000F33F7" w:rsidTr="0022474F">
        <w:tc>
          <w:tcPr>
            <w:tcW w:w="802" w:type="dxa"/>
            <w:vMerge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Регулируемыми организациями указывается информация по объектам, используемым для осуществления регулируемых видов деятельности.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Указывается установленная тепловая мощность для источника тепловой энергии.</w:t>
            </w:r>
          </w:p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наличия нескольких источников тепловой </w:t>
            </w:r>
            <w:proofErr w:type="gram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proofErr w:type="gramEnd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установленная тепловая мощность по каждому из них указывается в отдельных строках.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Регулируемыми организациями указывается информация по договорам, заключенным в рамках осуществления регулируемых видов деятельности.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Регулируемыми организациями указывается информация об объеме вырабатываемой тепловой энергии, выработанной в рамках осуществления регулируемых видов деятельности.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Информация указывается только едиными теплоснабжающими организациями.</w:t>
            </w:r>
          </w:p>
        </w:tc>
      </w:tr>
      <w:tr w:rsidR="000F33F7" w:rsidRPr="000F33F7" w:rsidTr="0022474F">
        <w:tc>
          <w:tcPr>
            <w:tcW w:w="802" w:type="dxa"/>
            <w:vMerge w:val="restart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58" w:type="dxa"/>
            <w:vMerge w:val="restart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определенном в том числе:</w:t>
            </w:r>
          </w:p>
        </w:tc>
        <w:tc>
          <w:tcPr>
            <w:tcW w:w="1435" w:type="dxa"/>
            <w:vMerge w:val="restart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1020" w:type="dxa"/>
            <w:vMerge w:val="restart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bottom w:val="nil"/>
            </w:tcBorders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Указывается общий объем тепловой энергии, отпускаемой потребителям.</w:t>
            </w:r>
          </w:p>
        </w:tc>
      </w:tr>
      <w:tr w:rsidR="000F33F7" w:rsidRPr="000F33F7" w:rsidTr="0022474F">
        <w:tc>
          <w:tcPr>
            <w:tcW w:w="802" w:type="dxa"/>
            <w:vMerge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Регулируемыми организациями указывается информация, включая отдельно сведения об определенном по приборам учета объеме тепловой энергии, отпускаемой потребителям по договорам, максимальный объем потребления тепловой энергии </w:t>
            </w:r>
            <w:proofErr w:type="gram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составляет менее чем 0,2 Гкал/ч.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по приборам учета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расчетным путем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по нормативам потребления коммунальных услуг и нормативам потребления коммунальных ресурсов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Гкал/год</w:t>
            </w:r>
          </w:p>
        </w:tc>
        <w:tc>
          <w:tcPr>
            <w:tcW w:w="1020" w:type="dxa"/>
            <w:vAlign w:val="center"/>
          </w:tcPr>
          <w:p w:rsidR="000F33F7" w:rsidRPr="000F33F7" w:rsidRDefault="00EE130B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403000,00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потерь при передаче тепловой энергии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тыс. Гкал/год</w:t>
            </w:r>
          </w:p>
        </w:tc>
        <w:tc>
          <w:tcPr>
            <w:tcW w:w="1020" w:type="dxa"/>
            <w:vAlign w:val="center"/>
          </w:tcPr>
          <w:p w:rsidR="000F33F7" w:rsidRPr="000F33F7" w:rsidRDefault="00EE130B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35" w:type="dxa"/>
            <w:vAlign w:val="center"/>
          </w:tcPr>
          <w:p w:rsidR="000F33F7" w:rsidRPr="000F33F7" w:rsidRDefault="00EE130B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F33F7" w:rsidRPr="000F33F7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1020" w:type="dxa"/>
            <w:vAlign w:val="center"/>
          </w:tcPr>
          <w:p w:rsidR="000F33F7" w:rsidRPr="000F33F7" w:rsidRDefault="00EE130B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0" w:type="dxa"/>
            <w:vAlign w:val="center"/>
          </w:tcPr>
          <w:p w:rsidR="000F33F7" w:rsidRPr="000F33F7" w:rsidRDefault="00EE130B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условного топлива при производстве тепловой энергии источниками тепловой энергии, используемыми для осуществления регулируемых </w:t>
            </w:r>
            <w:r w:rsidRPr="000F3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 деятельности, в целом по регулируемой организации или с распределением по источникам тепловой энергии (в зависимости от показателя (показателей), утвержденного уполномоченным органом)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  <w:proofErr w:type="gramEnd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 у. т./Гкал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норматив удельного расхода условного топлива при производстве тепловой энергии источниками тепловой энергии для отдельного источника тепловой энергии. В случае наличия нескольких источников тепловой энергии норматив удельного расхода условного топлива по каждому из </w:t>
            </w:r>
            <w:r w:rsidRPr="000F3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них указывается в отдельных строках.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Фактический удельный расход условного топлива при производстве тепловой энергии источниками тепловой энергии, используемыми для осуществления регулируемых видов деятельности, в целом по регулируемой организации или с распределением по источникам тепловой энергии (в зависимости от показателя (показателей), утвержденного уполномоченным органом)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 у. т./Гкал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Указывается фактический удельный расход условного топлива при производстве тепловой энергии источниками тепловой энергии для отдельного источника тепловой энергии. В случае наличия нескольких источников тепловой энергии фактический удельный расход условного топлива по каждому из них указывается в отдельных строках.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кВт·</w:t>
            </w:r>
            <w:proofErr w:type="gram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Регулируемыми организациями указывается информация по договорам, заключенным в рамках осуществления регулируемой деятельности.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F33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Регулируемыми организациями указывается информация по договорам, заключенным в рамках осуществления регулируемой деятельности.</w:t>
            </w:r>
          </w:p>
        </w:tc>
      </w:tr>
      <w:tr w:rsidR="000F33F7" w:rsidRPr="000F33F7" w:rsidTr="0022474F">
        <w:tc>
          <w:tcPr>
            <w:tcW w:w="802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058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теплопотребляющих</w:t>
            </w:r>
            <w:proofErr w:type="spellEnd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. информация о показателях физического износа объектов теплоснабжения, информация о показателях энергетической эффективности объектов теплоснабжения</w:t>
            </w:r>
          </w:p>
        </w:tc>
        <w:tc>
          <w:tcPr>
            <w:tcW w:w="1435" w:type="dxa"/>
            <w:vAlign w:val="center"/>
          </w:tcPr>
          <w:p w:rsidR="000F33F7" w:rsidRPr="000F33F7" w:rsidRDefault="000F33F7" w:rsidP="00224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0F33F7" w:rsidRPr="000F33F7" w:rsidRDefault="000F33F7" w:rsidP="0022474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0F33F7" w:rsidRPr="000F33F7" w:rsidRDefault="000F33F7" w:rsidP="002247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3F7">
              <w:rPr>
                <w:rFonts w:ascii="Times New Roman" w:hAnsi="Times New Roman" w:cs="Times New Roman"/>
                <w:sz w:val="20"/>
                <w:szCs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F724D6" w:rsidRPr="000F33F7" w:rsidRDefault="00F724D6">
      <w:pPr>
        <w:rPr>
          <w:rFonts w:ascii="Times New Roman" w:hAnsi="Times New Roman" w:cs="Times New Roman"/>
          <w:sz w:val="20"/>
          <w:szCs w:val="20"/>
        </w:rPr>
      </w:pPr>
    </w:p>
    <w:sectPr w:rsidR="00F724D6" w:rsidRPr="000F33F7" w:rsidSect="00EE130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A0"/>
    <w:rsid w:val="00052FA0"/>
    <w:rsid w:val="000F33F7"/>
    <w:rsid w:val="009145CE"/>
    <w:rsid w:val="00EE130B"/>
    <w:rsid w:val="00F7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3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3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2023-09-29T12:16:00Z</dcterms:created>
  <dcterms:modified xsi:type="dcterms:W3CDTF">2024-03-06T08:27:00Z</dcterms:modified>
</cp:coreProperties>
</file>